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Act 1039 of 2017 Reporting By the School District (Ark. Code Ann. § 6-41-606 (b))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Dyslexia Program During the 2025-2026 school year, the Institute for the Creative Arts used the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Evidence-based Barton Reading and Spelling System in small group intervention to address the deficit areas of students identified as exhibiting the characteristics of dyslexia.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Number of Students Who Received Dyslexia Intervention During the 2025-2026 school year,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0 Students attending Institute for the Creative Arts Public School District received dyslexia intervention services from a trained dyslexia interventionist.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Total Number of Students Identified as Exhibiting the Characteristics of Dyslexia During the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2025-2026 school year, 5 students attending Institute for the Creative Arts were identified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as exhibiting the characteristics of dyslexia.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